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1180" w14:textId="77777777" w:rsidR="00091CEE" w:rsidRPr="000E5421" w:rsidRDefault="00091CEE" w:rsidP="00091CEE">
      <w:pPr>
        <w:rPr>
          <w:sz w:val="40"/>
        </w:rPr>
      </w:pPr>
      <w:r w:rsidRPr="000E5421">
        <w:rPr>
          <w:b/>
          <w:bCs/>
          <w:sz w:val="40"/>
        </w:rPr>
        <w:t>Becoming Nothing: Gaining Everything</w:t>
      </w:r>
      <w:r w:rsidRPr="000E5421">
        <w:rPr>
          <w:sz w:val="40"/>
        </w:rPr>
        <w:t xml:space="preserve"> </w:t>
      </w:r>
    </w:p>
    <w:p w14:paraId="5C00FF17" w14:textId="77777777" w:rsidR="00091CEE" w:rsidRPr="000E5421" w:rsidRDefault="00091CEE" w:rsidP="00091CEE">
      <w:pPr>
        <w:rPr>
          <w:rFonts w:ascii="Times New Roman" w:hAnsi="Times New Roman"/>
          <w:sz w:val="28"/>
        </w:rPr>
      </w:pPr>
      <w:r w:rsidRPr="000E5421">
        <w:rPr>
          <w:rFonts w:ascii="Times New Roman" w:hAnsi="Times New Roman"/>
          <w:sz w:val="28"/>
        </w:rPr>
        <w:t>V. S. Naipaul (1932–2018) was one of the twentieth century’s most unsparing observers of human nature. Born in Trinidad to an Indian family and educated at Oxford, he wrote with a clarity that bordered on mercilessness. He had little patience for illusions or comforting narratives. His work often traced the dislocation, ambition, and quiet despair of people caught between collapsing old orders and unstable new ones.</w:t>
      </w:r>
    </w:p>
    <w:p w14:paraId="2D46F9E9" w14:textId="77777777" w:rsidR="00091CEE" w:rsidRPr="000E5421" w:rsidRDefault="00091CEE" w:rsidP="00091CEE">
      <w:pPr>
        <w:rPr>
          <w:rFonts w:ascii="Times New Roman" w:hAnsi="Times New Roman"/>
          <w:sz w:val="28"/>
        </w:rPr>
      </w:pPr>
      <w:r w:rsidRPr="000E5421">
        <w:rPr>
          <w:rFonts w:ascii="Times New Roman" w:hAnsi="Times New Roman"/>
          <w:i/>
          <w:iCs/>
          <w:sz w:val="28"/>
        </w:rPr>
        <w:t>A Bend in the River</w:t>
      </w:r>
      <w:r w:rsidRPr="000E5421">
        <w:rPr>
          <w:rFonts w:ascii="Times New Roman" w:hAnsi="Times New Roman"/>
          <w:sz w:val="28"/>
        </w:rPr>
        <w:t xml:space="preserve"> (1979), a novel set in a fictional Central African nation in the uneasy years after independence, may be his starkest work. It follows a man attempting to survive in a landscape where power shifts without warning, where strength governs survival, and where the weak disappear without notice. Its opening lines announce this vision with stark certainty:</w:t>
      </w:r>
    </w:p>
    <w:p w14:paraId="16EE3058" w14:textId="77777777" w:rsidR="00091CEE" w:rsidRPr="000E5421" w:rsidRDefault="00091CEE" w:rsidP="00091CEE">
      <w:pPr>
        <w:rPr>
          <w:rFonts w:ascii="Times New Roman" w:hAnsi="Times New Roman"/>
          <w:sz w:val="28"/>
        </w:rPr>
      </w:pPr>
      <w:r w:rsidRPr="000E5421">
        <w:rPr>
          <w:rFonts w:ascii="Times New Roman" w:hAnsi="Times New Roman"/>
          <w:sz w:val="28"/>
        </w:rPr>
        <w:t>“The world is what it is. Men who are nothing, who allow themselves to become nothing, have no place in it.”</w:t>
      </w:r>
    </w:p>
    <w:p w14:paraId="4AC16B7F" w14:textId="77777777" w:rsidR="00091CEE" w:rsidRPr="000E5421" w:rsidRDefault="00091CEE" w:rsidP="00091CEE">
      <w:pPr>
        <w:rPr>
          <w:rFonts w:ascii="Times New Roman" w:hAnsi="Times New Roman"/>
          <w:sz w:val="28"/>
        </w:rPr>
      </w:pPr>
      <w:r w:rsidRPr="000E5421">
        <w:rPr>
          <w:rFonts w:ascii="Times New Roman" w:hAnsi="Times New Roman"/>
          <w:sz w:val="28"/>
        </w:rPr>
        <w:t>Naipaul presents these words as a diagnosis of the world stripped of sentiment. In his telling, the world rewards those who assert themselves and erases those who do not. To become “nothing” is not merely to fail economically or socially but to disappear in a deeper sense. The line lands with force because it reads less like a warning and more like a report.</w:t>
      </w:r>
    </w:p>
    <w:p w14:paraId="7945C492" w14:textId="77777777" w:rsidR="00091CEE" w:rsidRPr="000E5421" w:rsidRDefault="00091CEE" w:rsidP="00091CEE">
      <w:pPr>
        <w:rPr>
          <w:rFonts w:ascii="Times New Roman" w:hAnsi="Times New Roman"/>
          <w:sz w:val="28"/>
        </w:rPr>
      </w:pPr>
      <w:r w:rsidRPr="000E5421">
        <w:rPr>
          <w:rFonts w:ascii="Times New Roman" w:hAnsi="Times New Roman"/>
          <w:sz w:val="28"/>
        </w:rPr>
        <w:t>Naipaul was not attempting to echo Scripture, yet the world he describes is the one Scripture exposes: a world governed by pride, driven by fear, and ordered around the preservation of the strong. Scripture does not dispute this assessment. It confirms it.</w:t>
      </w:r>
    </w:p>
    <w:p w14:paraId="0493024A" w14:textId="77777777" w:rsidR="00091CEE" w:rsidRPr="000E5421" w:rsidRDefault="00091CEE" w:rsidP="00091CEE">
      <w:pPr>
        <w:rPr>
          <w:rFonts w:ascii="Times New Roman" w:hAnsi="Times New Roman"/>
          <w:sz w:val="28"/>
        </w:rPr>
      </w:pPr>
      <w:r w:rsidRPr="000E5421">
        <w:rPr>
          <w:rFonts w:ascii="Times New Roman" w:hAnsi="Times New Roman"/>
          <w:sz w:val="28"/>
        </w:rPr>
        <w:t>Scripture, however, refuses to let that verdict stand as final.</w:t>
      </w:r>
    </w:p>
    <w:p w14:paraId="16CB7E11" w14:textId="77777777" w:rsidR="00091CEE" w:rsidRPr="000E5421" w:rsidRDefault="00091CEE" w:rsidP="00091CEE">
      <w:pPr>
        <w:rPr>
          <w:rFonts w:ascii="Times New Roman" w:hAnsi="Times New Roman"/>
          <w:sz w:val="28"/>
        </w:rPr>
      </w:pPr>
      <w:r w:rsidRPr="000E5421">
        <w:rPr>
          <w:rFonts w:ascii="Times New Roman" w:hAnsi="Times New Roman"/>
          <w:sz w:val="28"/>
        </w:rPr>
        <w:t>The Bible names the world as it is, then reveals that no one enters the kingdom while clinging to the very instincts that secure survival within it. The gospel does not teach us how to prevail in such a world. It teaches us how to release it. At this point the word “nothing” undergoes a reversal. In Naipaul, it marks erasure; in Christ, it marks the threshold of life.</w:t>
      </w:r>
    </w:p>
    <w:p w14:paraId="17B019F6" w14:textId="77777777" w:rsidR="00091CEE" w:rsidRPr="000E5421" w:rsidRDefault="00091CEE" w:rsidP="00091CEE">
      <w:pPr>
        <w:rPr>
          <w:rFonts w:ascii="Times New Roman" w:hAnsi="Times New Roman"/>
          <w:sz w:val="28"/>
        </w:rPr>
      </w:pPr>
      <w:r w:rsidRPr="000E5421">
        <w:rPr>
          <w:rFonts w:ascii="Times New Roman" w:hAnsi="Times New Roman"/>
          <w:sz w:val="28"/>
        </w:rPr>
        <w:lastRenderedPageBreak/>
        <w:t>The nothingness Christ speaks of is not the mild humility we tend to imagine. It is not restraint, politeness, or a socially acceptable modesty that still protects the self. It is the collapse of the identity we have constructed, the surrender of the narrative that makes us feel necessary, the relinquishing of the ego’s claim to be the source.</w:t>
      </w:r>
    </w:p>
    <w:p w14:paraId="59E0A64B" w14:textId="77777777" w:rsidR="00091CEE" w:rsidRPr="000E5421" w:rsidRDefault="00091CEE" w:rsidP="00091CEE">
      <w:pPr>
        <w:rPr>
          <w:rFonts w:ascii="Times New Roman" w:hAnsi="Times New Roman"/>
          <w:sz w:val="28"/>
        </w:rPr>
      </w:pPr>
      <w:r w:rsidRPr="000E5421">
        <w:rPr>
          <w:rFonts w:ascii="Times New Roman" w:hAnsi="Times New Roman"/>
          <w:sz w:val="28"/>
        </w:rPr>
        <w:t>This collapse rarely arrives in dramatic form. It tends to surface quietly, often in places that expose more than they announce. It can appear in years of competence that no longer satisfy, in the slow discovery that achievement leaves the interior untouched. It can take the form of being overlooked and finding how much identity depended on recognition. It can come through the realization that moral seriousness has functioned as a means of control, that even virtue has been serving the self it claimed to discipline. What emerges is not spectacle but exposure.</w:t>
      </w:r>
    </w:p>
    <w:p w14:paraId="1A58605E" w14:textId="77777777" w:rsidR="00091CEE" w:rsidRPr="000E5421" w:rsidRDefault="00091CEE" w:rsidP="00091CEE">
      <w:pPr>
        <w:rPr>
          <w:rFonts w:ascii="Times New Roman" w:hAnsi="Times New Roman"/>
          <w:sz w:val="28"/>
        </w:rPr>
      </w:pPr>
      <w:r w:rsidRPr="000E5421">
        <w:rPr>
          <w:rFonts w:ascii="Times New Roman" w:hAnsi="Times New Roman"/>
          <w:sz w:val="28"/>
        </w:rPr>
        <w:t xml:space="preserve">Christ does not call for the management of pride. He calls for the abandonment of the structure that sustains it. The Greek </w:t>
      </w:r>
      <w:r w:rsidRPr="000E5421">
        <w:rPr>
          <w:rFonts w:ascii="Times New Roman" w:hAnsi="Times New Roman"/>
          <w:i/>
          <w:iCs/>
          <w:sz w:val="28"/>
        </w:rPr>
        <w:t>aparnēsasthe heauton</w:t>
      </w:r>
      <w:r w:rsidRPr="000E5421">
        <w:rPr>
          <w:rFonts w:ascii="Times New Roman" w:hAnsi="Times New Roman"/>
          <w:sz w:val="28"/>
        </w:rPr>
        <w:t>—to disown, to renounce, to walk away from a claimed identity—carries the weight of His command: “If anyone would come after me, let him deny himself.” The reference is not to isolated failures or visible sins but to the self as such. This is where discipleship begins.</w:t>
      </w:r>
    </w:p>
    <w:p w14:paraId="4B75B6D0" w14:textId="77777777" w:rsidR="00091CEE" w:rsidRPr="000E5421" w:rsidRDefault="00091CEE" w:rsidP="00091CEE">
      <w:pPr>
        <w:rPr>
          <w:rFonts w:ascii="Times New Roman" w:hAnsi="Times New Roman"/>
          <w:sz w:val="28"/>
        </w:rPr>
      </w:pPr>
      <w:r w:rsidRPr="000E5421">
        <w:rPr>
          <w:rFonts w:ascii="Times New Roman" w:hAnsi="Times New Roman"/>
          <w:sz w:val="28"/>
        </w:rPr>
        <w:t>Paul describes this descent with equal clarity: “I have been crucified with Christ. It is no longer I who live…” The sentence leaves no room for negotiation. The “I” that must die is the one that fears becoming nothing.</w:t>
      </w:r>
    </w:p>
    <w:p w14:paraId="7DF31A08" w14:textId="77777777" w:rsidR="00091CEE" w:rsidRPr="000E5421" w:rsidRDefault="00091CEE" w:rsidP="00091CEE">
      <w:pPr>
        <w:rPr>
          <w:rFonts w:ascii="Times New Roman" w:hAnsi="Times New Roman"/>
          <w:sz w:val="28"/>
        </w:rPr>
      </w:pPr>
      <w:r w:rsidRPr="000E5421">
        <w:rPr>
          <w:rFonts w:ascii="Times New Roman" w:hAnsi="Times New Roman"/>
          <w:sz w:val="28"/>
        </w:rPr>
        <w:t>Jesus does not annihilate the self; He exposes the false one—the identity formed through fear, achievement, comparison, and self-protection. This is the self that cannot endure insignificance, that resists being unneeded. The gospel presses toward nothingness because anything less leaves us holding on to ourselves. Even virtue can be recruited into self-preservation.</w:t>
      </w:r>
    </w:p>
    <w:p w14:paraId="723AA841" w14:textId="77777777" w:rsidR="00091CEE" w:rsidRPr="000E5421" w:rsidRDefault="00091CEE" w:rsidP="00091CEE">
      <w:pPr>
        <w:rPr>
          <w:rFonts w:ascii="Times New Roman" w:hAnsi="Times New Roman"/>
          <w:sz w:val="28"/>
        </w:rPr>
      </w:pPr>
      <w:r w:rsidRPr="000E5421">
        <w:rPr>
          <w:rFonts w:ascii="Times New Roman" w:hAnsi="Times New Roman"/>
          <w:sz w:val="28"/>
        </w:rPr>
        <w:t>Comparisons with other traditions often arise at this point. Buddhism recognizes the tyranny of craving and the suffering it produces, training the person to loosen the grip of desire and the illusion of a permanent, self-sufficient “I.” Stoicism identifies the bondage created by attachment to what lies beyond control and calls for interior freedom. These traditions perceive, with clarity, that the ego dominates and distorts. They are not wrong in their diagnosis.</w:t>
      </w:r>
    </w:p>
    <w:p w14:paraId="723AA842" w14:textId="77777777" w:rsidR="00091CEE" w:rsidRPr="000E5421" w:rsidRDefault="00091CEE" w:rsidP="00091CEE">
      <w:pPr>
        <w:rPr>
          <w:rFonts w:ascii="Times New Roman" w:hAnsi="Times New Roman"/>
          <w:sz w:val="28"/>
        </w:rPr>
      </w:pPr>
      <w:r w:rsidRPr="000E5421">
        <w:rPr>
          <w:rFonts w:ascii="Times New Roman" w:hAnsi="Times New Roman"/>
          <w:sz w:val="28"/>
        </w:rPr>
        <w:lastRenderedPageBreak/>
        <w:t>Where they differ from Christ’s call is not in what they see but in where they locate the remedy. Both Buddhism and Stoicism place the work of liberation within the person: the discipline is undertaken, the detachment cultivated, the interior freedom achieved through sustained practice. The self, in some sense, saves itself from itself.</w:t>
      </w:r>
    </w:p>
    <w:p w14:paraId="723AA843" w14:textId="77777777" w:rsidR="00091CEE" w:rsidRPr="000E5421" w:rsidRDefault="00091CEE" w:rsidP="00091CEE">
      <w:pPr>
        <w:rPr>
          <w:rFonts w:ascii="Times New Roman" w:hAnsi="Times New Roman"/>
          <w:sz w:val="28"/>
        </w:rPr>
      </w:pPr>
      <w:r w:rsidRPr="000E5421">
        <w:rPr>
          <w:rFonts w:ascii="Times New Roman" w:hAnsi="Times New Roman"/>
          <w:sz w:val="28"/>
        </w:rPr>
        <w:t>Christ’s call moves differently. It does not invite the person to a practice but to a death — and beyond that death, to a resurrection that is not self-generated. The restoration of the person is not the fruit of the person’s own effort but the act of the One who made the person in the first place. Nothingness here is not a destination but a threshold. What lies beyond it is not impersonal calm or detachment from contingency but a life received from outside the self entirely.</w:t>
      </w:r>
    </w:p>
    <w:p w14:paraId="4F55AF7D" w14:textId="77777777" w:rsidR="00091CEE" w:rsidRPr="000E5421" w:rsidRDefault="00091CEE" w:rsidP="00091CEE">
      <w:pPr>
        <w:rPr>
          <w:rFonts w:ascii="Times New Roman" w:hAnsi="Times New Roman"/>
          <w:sz w:val="28"/>
        </w:rPr>
      </w:pPr>
      <w:r w:rsidRPr="000E5421">
        <w:rPr>
          <w:rFonts w:ascii="Times New Roman" w:hAnsi="Times New Roman"/>
          <w:sz w:val="28"/>
        </w:rPr>
        <w:t>To become nothing in the gospel’s sense is to cease presenting oneself as the source of life. It follows the pattern of Christ’s own kenosis: “Though he was in the form of God, he emptied himself…” His descent into vulnerability, dependence, and surrender does not diminish divinity; it reveals it. The Son does not empty Himself reluctantly or under compulsion; He empties Himself because self-giving is what divine love does when it takes flesh. The cross is not an interruption of who God is but the fullest expression of it. Divine love takes shape as strength that does not secure itself.</w:t>
      </w:r>
    </w:p>
    <w:p w14:paraId="4F55AF7E" w14:textId="77777777" w:rsidR="00091CEE" w:rsidRPr="000E5421" w:rsidRDefault="00091CEE" w:rsidP="00091CEE">
      <w:pPr>
        <w:rPr>
          <w:rFonts w:ascii="Times New Roman" w:hAnsi="Times New Roman"/>
          <w:sz w:val="28"/>
        </w:rPr>
      </w:pPr>
      <w:r w:rsidRPr="000E5421">
        <w:rPr>
          <w:rFonts w:ascii="Times New Roman" w:hAnsi="Times New Roman"/>
          <w:sz w:val="28"/>
        </w:rPr>
        <w:t>Our own emptying is not finally about us. It is participation in a movement that originates in God and returns to God. We are not being asked to achieve a spiritual condition; we are being drawn into a life already lived from the inside by Christ Himself. The descent He made is the ground on which our descent becomes possible — and bearable.</w:t>
      </w:r>
    </w:p>
    <w:p w14:paraId="253A1B37" w14:textId="77777777" w:rsidR="00091CEE" w:rsidRPr="000E5421" w:rsidRDefault="00091CEE" w:rsidP="00091CEE">
      <w:pPr>
        <w:rPr>
          <w:rFonts w:ascii="Times New Roman" w:hAnsi="Times New Roman"/>
          <w:sz w:val="28"/>
        </w:rPr>
      </w:pPr>
      <w:r w:rsidRPr="000E5421">
        <w:rPr>
          <w:rFonts w:ascii="Times New Roman" w:hAnsi="Times New Roman"/>
          <w:sz w:val="28"/>
        </w:rPr>
        <w:t>For us, this descent is not a secondary feature of faith. It stands at the center of it. Those who remain committed to the world’s logic struggle to receive the life Christ gives, not because they are worse, but because they remain occupied.</w:t>
      </w:r>
    </w:p>
    <w:p w14:paraId="253A1B38" w14:textId="77777777" w:rsidR="00091CEE" w:rsidRPr="000E5421" w:rsidRDefault="00091CEE" w:rsidP="00091CEE">
      <w:pPr>
        <w:rPr>
          <w:rFonts w:ascii="Times New Roman" w:hAnsi="Times New Roman"/>
          <w:sz w:val="28"/>
        </w:rPr>
      </w:pPr>
      <w:r w:rsidRPr="000E5421">
        <w:rPr>
          <w:rFonts w:ascii="Times New Roman" w:hAnsi="Times New Roman"/>
          <w:sz w:val="28"/>
        </w:rPr>
        <w:t xml:space="preserve">The occupation takes many forms, but its interior signature is the same: the quiet insistence that we are managing well enough, that the self is still adequate to its own situation, that the need is not yet acute enough to require surrender. It is possible to be religious in this condition — dutiful, even devout — while </w:t>
      </w:r>
      <w:r w:rsidRPr="000E5421">
        <w:rPr>
          <w:rFonts w:ascii="Times New Roman" w:hAnsi="Times New Roman"/>
          <w:sz w:val="28"/>
        </w:rPr>
        <w:lastRenderedPageBreak/>
        <w:t>remaining fundamentally self-supplied. The gospel does not flatter that posture. It names it as the one thing that keeps us from what we most need.</w:t>
      </w:r>
    </w:p>
    <w:p w14:paraId="4132C76D" w14:textId="77777777" w:rsidR="00091CEE" w:rsidRPr="000E5421" w:rsidRDefault="00091CEE" w:rsidP="00091CEE">
      <w:pPr>
        <w:rPr>
          <w:rFonts w:ascii="Times New Roman" w:hAnsi="Times New Roman"/>
          <w:sz w:val="28"/>
        </w:rPr>
      </w:pPr>
      <w:r w:rsidRPr="000E5421">
        <w:rPr>
          <w:rFonts w:ascii="Times New Roman" w:hAnsi="Times New Roman"/>
          <w:sz w:val="28"/>
        </w:rPr>
        <w:t>This is why Jesus begins the Sermon on the Mount with poverty: “Blessed are the poor in spirit.” Blessed are those who have relinquished the demand to be sufficient, who no longer sustain the appearance of completeness. The kingdom arrives as mercy for those who have been emptied.</w:t>
      </w:r>
    </w:p>
    <w:p w14:paraId="54196E26" w14:textId="77777777" w:rsidR="00091CEE" w:rsidRPr="000E5421" w:rsidRDefault="00091CEE" w:rsidP="00091CEE">
      <w:pPr>
        <w:rPr>
          <w:rFonts w:ascii="Times New Roman" w:hAnsi="Times New Roman"/>
          <w:sz w:val="28"/>
        </w:rPr>
      </w:pPr>
      <w:r w:rsidRPr="000E5421">
        <w:rPr>
          <w:rFonts w:ascii="Times New Roman" w:hAnsi="Times New Roman"/>
          <w:sz w:val="28"/>
        </w:rPr>
        <w:t>The paradox sharpens at this point. The world erases those who become nothing, yet Christ finds them. The world has no place for the emptied, yet Christ makes His dwelling there. The world trains us to avoid the lowest places; Christ enters them first and alters their meaning.</w:t>
      </w:r>
    </w:p>
    <w:p w14:paraId="6EA38191" w14:textId="77777777" w:rsidR="00091CEE" w:rsidRPr="000E5421" w:rsidRDefault="00091CEE" w:rsidP="00091CEE">
      <w:pPr>
        <w:rPr>
          <w:rFonts w:ascii="Times New Roman" w:hAnsi="Times New Roman"/>
          <w:sz w:val="28"/>
        </w:rPr>
      </w:pPr>
      <w:r w:rsidRPr="000E5421">
        <w:rPr>
          <w:rFonts w:ascii="Times New Roman" w:hAnsi="Times New Roman"/>
          <w:sz w:val="28"/>
        </w:rPr>
        <w:t>This pattern takes concrete form in the early life of John Newton.</w:t>
      </w:r>
    </w:p>
    <w:p w14:paraId="11AE88BF" w14:textId="77777777" w:rsidR="00091CEE" w:rsidRPr="000E5421" w:rsidRDefault="00091CEE" w:rsidP="00091CEE">
      <w:pPr>
        <w:rPr>
          <w:rFonts w:ascii="Times New Roman" w:hAnsi="Times New Roman"/>
          <w:sz w:val="28"/>
        </w:rPr>
      </w:pPr>
      <w:r w:rsidRPr="000E5421">
        <w:rPr>
          <w:rFonts w:ascii="Times New Roman" w:hAnsi="Times New Roman"/>
          <w:sz w:val="28"/>
        </w:rPr>
        <w:t>Born in 1725 to a merchant sea captain, Newton inherited a structured world that he soon squandered. By his teens he had established a pattern of insubordination and excess. He ignored authority, resisted discipline, and gained a reputation for volatility. In 1744 he was pressed into the Royal Navy, attempted to desert, was captured, stripped of rank, and flogged before the crew.</w:t>
      </w:r>
    </w:p>
    <w:p w14:paraId="6FC0BE9B" w14:textId="77777777" w:rsidR="00091CEE" w:rsidRPr="000E5421" w:rsidRDefault="00091CEE" w:rsidP="00091CEE">
      <w:pPr>
        <w:rPr>
          <w:rFonts w:ascii="Times New Roman" w:hAnsi="Times New Roman"/>
          <w:sz w:val="28"/>
        </w:rPr>
      </w:pPr>
      <w:r w:rsidRPr="000E5421">
        <w:rPr>
          <w:rFonts w:ascii="Times New Roman" w:hAnsi="Times New Roman"/>
          <w:sz w:val="28"/>
        </w:rPr>
        <w:t>His descent continued. Assigned to a slave ship on the West African coast, he quarreled with the crew and was eventually abandoned in Sierra Leone. For a period he lived in near starvation under the authority of a slave trader’s wife who treated him with contempt. His own accounts describe a man reduced to sickness, poverty, and isolation. By his mid-twenties, he had no standing, no prospects, and no future. In Naipaul’s terms, he had become nothing.</w:t>
      </w:r>
    </w:p>
    <w:p w14:paraId="505D3B7D" w14:textId="77777777" w:rsidR="00091CEE" w:rsidRPr="000E5421" w:rsidRDefault="00091CEE" w:rsidP="00091CEE">
      <w:pPr>
        <w:rPr>
          <w:rFonts w:ascii="Times New Roman" w:hAnsi="Times New Roman"/>
          <w:sz w:val="28"/>
        </w:rPr>
      </w:pPr>
      <w:r w:rsidRPr="000E5421">
        <w:rPr>
          <w:rFonts w:ascii="Times New Roman" w:hAnsi="Times New Roman"/>
          <w:sz w:val="28"/>
        </w:rPr>
        <w:t xml:space="preserve">The turning point came in March 1748. The ship </w:t>
      </w:r>
      <w:r w:rsidRPr="000E5421">
        <w:rPr>
          <w:rFonts w:ascii="Times New Roman" w:hAnsi="Times New Roman"/>
          <w:i/>
          <w:iCs/>
          <w:sz w:val="28"/>
        </w:rPr>
        <w:t>Greyhound</w:t>
      </w:r>
      <w:r w:rsidRPr="000E5421">
        <w:rPr>
          <w:rFonts w:ascii="Times New Roman" w:hAnsi="Times New Roman"/>
          <w:sz w:val="28"/>
        </w:rPr>
        <w:t>, which Newton had joined out of necessity, was overtaken by a storm so severe the crew expected death. A sailor standing where Newton had been moments earlier was swept into the sea. Newton was ordered to take his place at the pumps. For hours he labored in exhaustion as the ship filled with water. At some point, resistance gave way. He later wrote of feeling “condemned… without hope, without excuse,” and from that condition came a prayer he had not spoken in years: “Lord, have mercy.”</w:t>
      </w:r>
    </w:p>
    <w:p w14:paraId="23C01BEE" w14:textId="77777777" w:rsidR="00091CEE" w:rsidRPr="000E5421" w:rsidRDefault="00091CEE" w:rsidP="00091CEE">
      <w:pPr>
        <w:rPr>
          <w:rFonts w:ascii="Times New Roman" w:hAnsi="Times New Roman"/>
          <w:sz w:val="28"/>
        </w:rPr>
      </w:pPr>
      <w:r w:rsidRPr="000E5421">
        <w:rPr>
          <w:rFonts w:ascii="Times New Roman" w:hAnsi="Times New Roman"/>
          <w:sz w:val="28"/>
        </w:rPr>
        <w:t>This moment was not resolution. It was rupture. Grace arrived not in recovery but in ruin.</w:t>
      </w:r>
    </w:p>
    <w:p w14:paraId="23C01BEF" w14:textId="77777777" w:rsidR="00091CEE" w:rsidRPr="000E5421" w:rsidRDefault="00091CEE" w:rsidP="00091CEE">
      <w:pPr>
        <w:rPr>
          <w:rFonts w:ascii="Times New Roman" w:hAnsi="Times New Roman"/>
          <w:sz w:val="28"/>
        </w:rPr>
      </w:pPr>
      <w:r w:rsidRPr="000E5421">
        <w:rPr>
          <w:rFonts w:ascii="Times New Roman" w:hAnsi="Times New Roman"/>
          <w:sz w:val="28"/>
        </w:rPr>
        <w:lastRenderedPageBreak/>
        <w:t>What followed was not immediate transformation. Newton continued in the slave trade for several more years, a fact he later regarded with shame and which he did not attempt to excuse. Grace had cracked something open, but the work of renovation was slow and uneven, as it tends to be. He would not be ordained until 1764, more than fifteen years after the storm. The man who eventually wrote “Amazing Grace” — who described himself as a wretch who had been found — was not produced overnight. He was produced by decades of Scripture, prayer, and the patient pressure of the Holy Spirit on a will that had spent years forming itself in the opposite direction.</w:t>
      </w:r>
    </w:p>
    <w:p w14:paraId="23C01BF0" w14:textId="77777777" w:rsidR="00091CEE" w:rsidRPr="000E5421" w:rsidRDefault="00091CEE" w:rsidP="00091CEE">
      <w:pPr>
        <w:rPr>
          <w:rFonts w:ascii="Times New Roman" w:hAnsi="Times New Roman"/>
          <w:sz w:val="28"/>
        </w:rPr>
      </w:pPr>
      <w:r w:rsidRPr="000E5421">
        <w:rPr>
          <w:rFonts w:ascii="Times New Roman" w:hAnsi="Times New Roman"/>
          <w:sz w:val="28"/>
        </w:rPr>
        <w:t>This matters because it prevents Newton’s story from becoming a conversion tableau — a dramatic moment followed by a clean resolution. What the storm produced was not a finished man but an open one. The crack was real. What entered through it was real. But the gospel does not promise speed; it promises presence. Christ met him in collapse rather than recovery, and then remained.</w:t>
      </w:r>
    </w:p>
    <w:p w14:paraId="23C01BF1" w14:textId="77777777" w:rsidR="00091CEE" w:rsidRPr="000E5421" w:rsidRDefault="00091CEE" w:rsidP="00091CEE">
      <w:pPr>
        <w:rPr>
          <w:rFonts w:ascii="Times New Roman" w:hAnsi="Times New Roman"/>
          <w:sz w:val="28"/>
        </w:rPr>
      </w:pPr>
      <w:r w:rsidRPr="000E5421">
        <w:rPr>
          <w:rFonts w:ascii="Times New Roman" w:hAnsi="Times New Roman"/>
          <w:sz w:val="28"/>
        </w:rPr>
        <w:t>His life was not removed from nothingness; it was encountered there. What the world would have dismissed became the place where mercy took hold.</w:t>
      </w:r>
    </w:p>
    <w:p w14:paraId="1BFC340F" w14:textId="77777777" w:rsidR="00091CEE" w:rsidRPr="000E5421" w:rsidRDefault="00091CEE" w:rsidP="00091CEE">
      <w:pPr>
        <w:rPr>
          <w:rFonts w:ascii="Times New Roman" w:hAnsi="Times New Roman"/>
          <w:sz w:val="28"/>
        </w:rPr>
      </w:pPr>
      <w:r w:rsidRPr="000E5421">
        <w:rPr>
          <w:rFonts w:ascii="Times New Roman" w:hAnsi="Times New Roman"/>
          <w:sz w:val="28"/>
        </w:rPr>
        <w:t>Newton’s experience is not exceptional. It reflects a pattern that every disciple encounters in some form. The gospel meets us where the self can no longer sustain itself. Most attempt to postpone that moment. Adjustments are made, structures refined, hoping for entry into the kingdom without surrender. The words of Christ remain: “Unless a grain of wheat falls into the earth and dies, it remains alone.”</w:t>
      </w:r>
    </w:p>
    <w:p w14:paraId="3565D893" w14:textId="77777777" w:rsidR="00091CEE" w:rsidRPr="000E5421" w:rsidRDefault="00091CEE" w:rsidP="00091CEE">
      <w:pPr>
        <w:rPr>
          <w:rFonts w:ascii="Times New Roman" w:hAnsi="Times New Roman"/>
          <w:sz w:val="28"/>
        </w:rPr>
      </w:pPr>
      <w:r w:rsidRPr="000E5421">
        <w:rPr>
          <w:rFonts w:ascii="Times New Roman" w:hAnsi="Times New Roman"/>
          <w:sz w:val="28"/>
        </w:rPr>
        <w:t>The nothingness Christ calls for is not a passing condition. It is the recognition that the life we have built cannot enter the kingdom unchanged. Grace therefore registers first as loss. It loosens our attachment to identity and silences the claim to self-sufficiency.</w:t>
      </w:r>
    </w:p>
    <w:p w14:paraId="1F3250ED" w14:textId="77777777" w:rsidR="00091CEE" w:rsidRPr="000E5421" w:rsidRDefault="00091CEE" w:rsidP="00091CEE">
      <w:pPr>
        <w:rPr>
          <w:rFonts w:ascii="Times New Roman" w:hAnsi="Times New Roman"/>
          <w:sz w:val="28"/>
        </w:rPr>
      </w:pPr>
      <w:r w:rsidRPr="000E5421">
        <w:rPr>
          <w:rFonts w:ascii="Times New Roman" w:hAnsi="Times New Roman"/>
          <w:sz w:val="28"/>
        </w:rPr>
        <w:t>In the quiet that follows, Christ is present—not as affirmation, but as reality. The world declares that those who become nothing have no place. The kingdom answers by providing one.</w:t>
      </w:r>
    </w:p>
    <w:p w14:paraId="7AF97AB0" w14:textId="77777777" w:rsidR="00091CEE" w:rsidRPr="000E5421" w:rsidRDefault="00091CEE" w:rsidP="00091CEE">
      <w:pPr>
        <w:rPr>
          <w:rFonts w:ascii="Times New Roman" w:hAnsi="Times New Roman"/>
          <w:sz w:val="28"/>
        </w:rPr>
      </w:pPr>
      <w:r w:rsidRPr="000E5421">
        <w:rPr>
          <w:rFonts w:ascii="Times New Roman" w:hAnsi="Times New Roman"/>
          <w:sz w:val="28"/>
        </w:rPr>
        <w:t xml:space="preserve">The question, then, does not rest on whether becoming nothing is difficult. It concerns whether the life being defended is worth preserving—whether the self that resists loss is itself the barrier to life. Naipaul’s line remains accurate within </w:t>
      </w:r>
      <w:r w:rsidRPr="000E5421">
        <w:rPr>
          <w:rFonts w:ascii="Times New Roman" w:hAnsi="Times New Roman"/>
          <w:sz w:val="28"/>
        </w:rPr>
        <w:lastRenderedPageBreak/>
        <w:t>the world it describes. The world still excludes those who become nothing. The distinction lies here: Christ does not.</w:t>
      </w:r>
    </w:p>
    <w:p w14:paraId="4FE4A34E" w14:textId="77777777" w:rsidR="00091CEE" w:rsidRPr="000E5421" w:rsidRDefault="00091CEE" w:rsidP="00091CEE">
      <w:pPr>
        <w:rPr>
          <w:rFonts w:ascii="Times New Roman" w:hAnsi="Times New Roman"/>
          <w:sz w:val="28"/>
        </w:rPr>
      </w:pPr>
      <w:r w:rsidRPr="000E5421">
        <w:rPr>
          <w:rFonts w:ascii="Times New Roman" w:hAnsi="Times New Roman"/>
          <w:sz w:val="28"/>
        </w:rPr>
        <w:t>The decision resolves into a choice between two verdicts. One demands that we secure ourselves or disappear. The other calls us downward into life. The world is what it is. But Christ has overcome the world.</w:t>
      </w:r>
    </w:p>
    <w:p w14:paraId="1274BB8C" w14:textId="77777777" w:rsidR="008513F1" w:rsidRDefault="008513F1">
      <w:pPr>
        <w:rPr>
          <w:rFonts w:ascii="Times New Roman" w:hAnsi="Times New Roman"/>
          <w:sz w:val="28"/>
        </w:rPr>
      </w:pPr>
    </w:p>
    <w:p w14:paraId="51EB9716" w14:textId="55E4A28D" w:rsidR="0024025D" w:rsidRDefault="0024025D">
      <w:pPr>
        <w:rPr>
          <w:rFonts w:ascii="Times New Roman" w:hAnsi="Times New Roman"/>
          <w:sz w:val="28"/>
        </w:rPr>
      </w:pPr>
      <w:r>
        <w:rPr>
          <w:rFonts w:ascii="Times New Roman" w:hAnsi="Times New Roman"/>
          <w:sz w:val="28"/>
        </w:rPr>
        <w:t>John Dotson</w:t>
      </w:r>
    </w:p>
    <w:p w14:paraId="1A7367BF" w14:textId="4267B14C" w:rsidR="0024025D" w:rsidRDefault="0024025D">
      <w:pPr>
        <w:rPr>
          <w:rFonts w:ascii="Times New Roman" w:hAnsi="Times New Roman"/>
          <w:sz w:val="28"/>
        </w:rPr>
      </w:pPr>
      <w:r>
        <w:rPr>
          <w:rFonts w:ascii="Times New Roman" w:hAnsi="Times New Roman"/>
          <w:sz w:val="28"/>
        </w:rPr>
        <w:t>Harmony Church of Bartlett</w:t>
      </w:r>
    </w:p>
    <w:p w14:paraId="4CE02623" w14:textId="22F2F430" w:rsidR="0024025D" w:rsidRPr="000E5421" w:rsidRDefault="0024025D">
      <w:pPr>
        <w:rPr>
          <w:rFonts w:ascii="Times New Roman" w:hAnsi="Times New Roman"/>
          <w:sz w:val="28"/>
        </w:rPr>
      </w:pPr>
      <w:r>
        <w:rPr>
          <w:rFonts w:ascii="Times New Roman" w:hAnsi="Times New Roman"/>
          <w:sz w:val="28"/>
        </w:rPr>
        <w:t>June 2026</w:t>
      </w:r>
    </w:p>
    <w:sectPr w:rsidR="0024025D" w:rsidRPr="000E54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2100" w14:textId="77777777" w:rsidR="00692785" w:rsidRDefault="00692785" w:rsidP="0024025D">
      <w:pPr>
        <w:spacing w:after="0" w:line="240" w:lineRule="auto"/>
      </w:pPr>
      <w:r>
        <w:separator/>
      </w:r>
    </w:p>
  </w:endnote>
  <w:endnote w:type="continuationSeparator" w:id="0">
    <w:p w14:paraId="01B2D76A" w14:textId="77777777" w:rsidR="00692785" w:rsidRDefault="00692785" w:rsidP="0024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197509"/>
      <w:docPartObj>
        <w:docPartGallery w:val="Page Numbers (Bottom of Page)"/>
        <w:docPartUnique/>
      </w:docPartObj>
    </w:sdtPr>
    <w:sdtEndPr>
      <w:rPr>
        <w:noProof/>
      </w:rPr>
    </w:sdtEndPr>
    <w:sdtContent>
      <w:p w14:paraId="109554EE" w14:textId="19CAE640" w:rsidR="0024025D" w:rsidRDefault="002402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4B370" w14:textId="77777777" w:rsidR="0024025D" w:rsidRDefault="0024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2F6B" w14:textId="77777777" w:rsidR="00692785" w:rsidRDefault="00692785" w:rsidP="0024025D">
      <w:pPr>
        <w:spacing w:after="0" w:line="240" w:lineRule="auto"/>
      </w:pPr>
      <w:r>
        <w:separator/>
      </w:r>
    </w:p>
  </w:footnote>
  <w:footnote w:type="continuationSeparator" w:id="0">
    <w:p w14:paraId="1528D474" w14:textId="77777777" w:rsidR="00692785" w:rsidRDefault="00692785" w:rsidP="00240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EE"/>
    <w:rsid w:val="00091CEE"/>
    <w:rsid w:val="000E5421"/>
    <w:rsid w:val="002119B4"/>
    <w:rsid w:val="0024025D"/>
    <w:rsid w:val="00692785"/>
    <w:rsid w:val="008513F1"/>
    <w:rsid w:val="00C54C9A"/>
    <w:rsid w:val="00E0331D"/>
    <w:rsid w:val="00F179FB"/>
    <w:rsid w:val="00FA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BA44"/>
  <w15:chartTrackingRefBased/>
  <w15:docId w15:val="{FC107A3E-F556-4596-ADD8-BACE09C5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CEE"/>
    <w:rPr>
      <w:rFonts w:eastAsiaTheme="majorEastAsia" w:cstheme="majorBidi"/>
      <w:color w:val="272727" w:themeColor="text1" w:themeTint="D8"/>
    </w:rPr>
  </w:style>
  <w:style w:type="paragraph" w:styleId="Title">
    <w:name w:val="Title"/>
    <w:basedOn w:val="Normal"/>
    <w:next w:val="Normal"/>
    <w:link w:val="TitleChar"/>
    <w:uiPriority w:val="10"/>
    <w:qFormat/>
    <w:rsid w:val="00091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CEE"/>
    <w:pPr>
      <w:spacing w:before="160"/>
      <w:jc w:val="center"/>
    </w:pPr>
    <w:rPr>
      <w:i/>
      <w:iCs/>
      <w:color w:val="404040" w:themeColor="text1" w:themeTint="BF"/>
    </w:rPr>
  </w:style>
  <w:style w:type="character" w:customStyle="1" w:styleId="QuoteChar">
    <w:name w:val="Quote Char"/>
    <w:basedOn w:val="DefaultParagraphFont"/>
    <w:link w:val="Quote"/>
    <w:uiPriority w:val="29"/>
    <w:rsid w:val="00091CEE"/>
    <w:rPr>
      <w:i/>
      <w:iCs/>
      <w:color w:val="404040" w:themeColor="text1" w:themeTint="BF"/>
    </w:rPr>
  </w:style>
  <w:style w:type="paragraph" w:styleId="ListParagraph">
    <w:name w:val="List Paragraph"/>
    <w:basedOn w:val="Normal"/>
    <w:uiPriority w:val="34"/>
    <w:qFormat/>
    <w:rsid w:val="00091CEE"/>
    <w:pPr>
      <w:ind w:left="720"/>
      <w:contextualSpacing/>
    </w:pPr>
  </w:style>
  <w:style w:type="character" w:styleId="IntenseEmphasis">
    <w:name w:val="Intense Emphasis"/>
    <w:basedOn w:val="DefaultParagraphFont"/>
    <w:uiPriority w:val="21"/>
    <w:qFormat/>
    <w:rsid w:val="00091CEE"/>
    <w:rPr>
      <w:i/>
      <w:iCs/>
      <w:color w:val="0F4761" w:themeColor="accent1" w:themeShade="BF"/>
    </w:rPr>
  </w:style>
  <w:style w:type="paragraph" w:styleId="IntenseQuote">
    <w:name w:val="Intense Quote"/>
    <w:basedOn w:val="Normal"/>
    <w:next w:val="Normal"/>
    <w:link w:val="IntenseQuoteChar"/>
    <w:uiPriority w:val="30"/>
    <w:qFormat/>
    <w:rsid w:val="00091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CEE"/>
    <w:rPr>
      <w:i/>
      <w:iCs/>
      <w:color w:val="0F4761" w:themeColor="accent1" w:themeShade="BF"/>
    </w:rPr>
  </w:style>
  <w:style w:type="character" w:styleId="IntenseReference">
    <w:name w:val="Intense Reference"/>
    <w:basedOn w:val="DefaultParagraphFont"/>
    <w:uiPriority w:val="32"/>
    <w:qFormat/>
    <w:rsid w:val="00091CEE"/>
    <w:rPr>
      <w:b/>
      <w:bCs/>
      <w:smallCaps/>
      <w:color w:val="0F4761" w:themeColor="accent1" w:themeShade="BF"/>
      <w:spacing w:val="5"/>
    </w:rPr>
  </w:style>
  <w:style w:type="paragraph" w:styleId="Header">
    <w:name w:val="header"/>
    <w:basedOn w:val="Normal"/>
    <w:link w:val="HeaderChar"/>
    <w:uiPriority w:val="99"/>
    <w:unhideWhenUsed/>
    <w:rsid w:val="0024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5D"/>
  </w:style>
  <w:style w:type="paragraph" w:styleId="Footer">
    <w:name w:val="footer"/>
    <w:basedOn w:val="Normal"/>
    <w:link w:val="FooterChar"/>
    <w:uiPriority w:val="99"/>
    <w:unhideWhenUsed/>
    <w:rsid w:val="0024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9665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Dotson, John H.</dc:creator>
  <cp:keywords/>
  <dc:description/>
  <cp:lastModifiedBy>Dotson, John H.</cp:lastModifiedBy>
  <cp:revision>2</cp:revision>
  <dcterms:created xsi:type="dcterms:W3CDTF">2026-06-18T23:24:00Z</dcterms:created>
  <dcterms:modified xsi:type="dcterms:W3CDTF">2026-06-18T23:24:00Z</dcterms:modified>
</cp:coreProperties>
</file>