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28523" w14:textId="77777777" w:rsidR="005D2F05" w:rsidRPr="00081D75" w:rsidRDefault="00192A49">
      <w:pPr>
        <w:spacing w:after="480"/>
        <w:jc w:val="center"/>
        <w:rPr>
          <w:sz w:val="40"/>
        </w:rPr>
      </w:pPr>
      <w:r w:rsidRPr="00081D75">
        <w:rPr>
          <w:b/>
          <w:bCs/>
          <w:sz w:val="40"/>
          <w:szCs w:val="28"/>
        </w:rPr>
        <w:t>Not a Test But a Warning:</w:t>
      </w:r>
    </w:p>
    <w:p w14:paraId="796A7072" w14:textId="77777777" w:rsidR="005D2F05" w:rsidRPr="00081D75" w:rsidRDefault="00192A49">
      <w:pPr>
        <w:spacing w:after="720"/>
        <w:jc w:val="center"/>
        <w:rPr>
          <w:sz w:val="32"/>
        </w:rPr>
      </w:pPr>
      <w:r w:rsidRPr="00081D75">
        <w:rPr>
          <w:b/>
          <w:bCs/>
          <w:sz w:val="32"/>
        </w:rPr>
        <w:t>Rethinking the Tree of the Knowledge of Good and Evil</w:t>
      </w:r>
    </w:p>
    <w:p w14:paraId="0368B25D" w14:textId="77777777" w:rsidR="005D2F05" w:rsidRPr="00081D75" w:rsidRDefault="00192A49">
      <w:pPr>
        <w:spacing w:after="240"/>
        <w:rPr>
          <w:rFonts w:ascii="Times New Roman" w:hAnsi="Times New Roman"/>
          <w:sz w:val="28"/>
        </w:rPr>
      </w:pPr>
      <w:r w:rsidRPr="00081D75">
        <w:rPr>
          <w:rFonts w:ascii="Times New Roman" w:hAnsi="Times New Roman"/>
          <w:sz w:val="28"/>
        </w:rPr>
        <w:t>For centuries the garden of Eden, the tree of the knowledge of good and evil, and the forbidden fruit have fascinated readers of Genesis. Preachers, poets, theologians, and skeptics alike have asked: Why was the tree there? Why was its fruit forbidden? What really happened on the day humanity fell?</w:t>
      </w:r>
    </w:p>
    <w:p w14:paraId="628F5175" w14:textId="77777777" w:rsidR="005D2F05" w:rsidRPr="00081D75" w:rsidRDefault="00192A49">
      <w:pPr>
        <w:spacing w:after="240"/>
        <w:rPr>
          <w:rFonts w:ascii="Times New Roman" w:hAnsi="Times New Roman"/>
          <w:sz w:val="28"/>
        </w:rPr>
      </w:pPr>
      <w:r w:rsidRPr="00081D75">
        <w:rPr>
          <w:rFonts w:ascii="Times New Roman" w:hAnsi="Times New Roman"/>
          <w:sz w:val="28"/>
        </w:rPr>
        <w:t>Some have imagined God’s command to Adam as a test of obedience. Others have treated the story as a symbolic account of moral awakening. Still others see it as the moment death and evil entered the human story. The questions recur because the standard interpretive frame has not supplied the right premise—the text offers only the drama of a garden, a serpent, a man, a woman, a warning, and a choice, while what would make that drama legible goes unexamined.</w:t>
      </w:r>
    </w:p>
    <w:p w14:paraId="2F34CDC5" w14:textId="77777777" w:rsidR="005D2F05" w:rsidRPr="00081D75" w:rsidRDefault="00192A49">
      <w:pPr>
        <w:spacing w:after="240"/>
        <w:rPr>
          <w:rFonts w:ascii="Times New Roman" w:hAnsi="Times New Roman"/>
          <w:sz w:val="28"/>
        </w:rPr>
      </w:pPr>
      <w:r w:rsidRPr="00081D75">
        <w:rPr>
          <w:rFonts w:ascii="Times New Roman" w:hAnsi="Times New Roman"/>
          <w:sz w:val="28"/>
        </w:rPr>
        <w:t>If we are to read the tree rightly—to see its fruit and the Fall with the precision the text demands—we must begin where Genesis itself begins: with God. Scripture consistently presents Him as wholly good and incapable of deception or change, the giver of every good gift and the One whose works are themselves good. The God who planted Eden is also the thrice-holy Lord whose holiness cannot be approached casually or possessed by force. At the same time, this Creator stands toward His creatures not as a dista</w:t>
      </w:r>
      <w:r w:rsidRPr="00081D75">
        <w:rPr>
          <w:rFonts w:ascii="Times New Roman" w:hAnsi="Times New Roman"/>
          <w:sz w:val="28"/>
        </w:rPr>
        <w:t>nt power but as Father. Adam is called the son of God, and humanity His offspring. When such a God speaks, His words are not riddles and His commands are not traps. The prohibition in Eden therefore cannot be read as an arbitrary test. It must be read as a warning grounded in the very nature of the One who spoke it.</w:t>
      </w:r>
    </w:p>
    <w:p w14:paraId="17C6D75C" w14:textId="77777777" w:rsidR="005D2F05" w:rsidRPr="00081D75" w:rsidRDefault="00192A49">
      <w:pPr>
        <w:spacing w:after="240"/>
        <w:rPr>
          <w:rFonts w:ascii="Times New Roman" w:hAnsi="Times New Roman"/>
          <w:sz w:val="28"/>
        </w:rPr>
      </w:pPr>
      <w:r w:rsidRPr="00081D75">
        <w:rPr>
          <w:rFonts w:ascii="Times New Roman" w:hAnsi="Times New Roman"/>
          <w:sz w:val="28"/>
        </w:rPr>
        <w:t>The boundary itself does not originate in a divine decision about what will be allowed or forbidden. It originates in who God is. Certain realities belong to God alone not because He has chosen to reserve them, but because they are inseparable from His being. The knowledge of good and evil—understood not merely as moral awareness but as the authority to define, discern, and rule—belongs to God by nature. The command in Eden therefore did not create a boundary that might have been drawn differently. It revea</w:t>
      </w:r>
      <w:r w:rsidRPr="00081D75">
        <w:rPr>
          <w:rFonts w:ascii="Times New Roman" w:hAnsi="Times New Roman"/>
          <w:sz w:val="28"/>
        </w:rPr>
        <w:t>led a boundary already written into reality by the difference between Creator and creature. The tree stood in the garden as the visible marker of that difference.</w:t>
      </w:r>
    </w:p>
    <w:p w14:paraId="4240A144" w14:textId="77777777" w:rsidR="005D2F05" w:rsidRPr="00081D75" w:rsidRDefault="00192A49">
      <w:pPr>
        <w:spacing w:after="240"/>
        <w:rPr>
          <w:rFonts w:ascii="Times New Roman" w:hAnsi="Times New Roman"/>
          <w:sz w:val="28"/>
        </w:rPr>
      </w:pPr>
      <w:r w:rsidRPr="00081D75">
        <w:rPr>
          <w:rFonts w:ascii="Times New Roman" w:hAnsi="Times New Roman"/>
          <w:sz w:val="28"/>
        </w:rPr>
        <w:lastRenderedPageBreak/>
        <w:t>Only by beginning with the character of this God can we see the tree, its fruit, and the tragedy of Eden in their proper light.</w:t>
      </w:r>
    </w:p>
    <w:p w14:paraId="44777410" w14:textId="77777777" w:rsidR="005D2F05" w:rsidRPr="00081D75" w:rsidRDefault="00192A49">
      <w:pPr>
        <w:spacing w:after="240"/>
        <w:rPr>
          <w:rFonts w:ascii="Times New Roman" w:hAnsi="Times New Roman"/>
          <w:sz w:val="28"/>
        </w:rPr>
      </w:pPr>
      <w:r w:rsidRPr="00081D75">
        <w:rPr>
          <w:rFonts w:ascii="Times New Roman" w:hAnsi="Times New Roman"/>
          <w:sz w:val="28"/>
        </w:rPr>
        <w:t xml:space="preserve">Fathers warn; they do not set snares. “Keep your father’s commandment… for the commandment is a lamp and the teaching a light” (Prov. 6:20, 23). “Turn back, turn back from your evil ways; for why will you die?” (Ezek. 33:11). “I have set before </w:t>
      </w:r>
      <w:proofErr w:type="spellStart"/>
      <w:r w:rsidRPr="00081D75">
        <w:rPr>
          <w:rFonts w:ascii="Times New Roman" w:hAnsi="Times New Roman"/>
          <w:sz w:val="28"/>
        </w:rPr>
        <w:t>you</w:t>
      </w:r>
      <w:proofErr w:type="spellEnd"/>
      <w:r w:rsidRPr="00081D75">
        <w:rPr>
          <w:rFonts w:ascii="Times New Roman" w:hAnsi="Times New Roman"/>
          <w:sz w:val="28"/>
        </w:rPr>
        <w:t xml:space="preserve"> life and death… therefore choose life” (Deut. 30:19–20).</w:t>
      </w:r>
    </w:p>
    <w:p w14:paraId="35AC52CB" w14:textId="77777777" w:rsidR="005D2F05" w:rsidRPr="00081D75" w:rsidRDefault="00192A49">
      <w:pPr>
        <w:spacing w:after="240"/>
        <w:rPr>
          <w:rFonts w:ascii="Times New Roman" w:hAnsi="Times New Roman"/>
          <w:sz w:val="28"/>
        </w:rPr>
      </w:pPr>
      <w:r w:rsidRPr="00081D75">
        <w:rPr>
          <w:rFonts w:ascii="Times New Roman" w:hAnsi="Times New Roman"/>
          <w:sz w:val="28"/>
        </w:rPr>
        <w:t>Because God does not change, what He commands always flows from the same goodness, holiness, and fatherly care—from Eden to Sinai to Calvary to the end of the age. With that unchanging character in view, we hear God’s first command:</w:t>
      </w:r>
    </w:p>
    <w:p w14:paraId="2EF10C71" w14:textId="77777777" w:rsidR="005D2F05" w:rsidRPr="00081D75" w:rsidRDefault="00192A49">
      <w:pPr>
        <w:spacing w:after="240"/>
        <w:ind w:left="720" w:right="720"/>
        <w:rPr>
          <w:rFonts w:ascii="Times New Roman" w:hAnsi="Times New Roman"/>
          <w:sz w:val="28"/>
        </w:rPr>
      </w:pPr>
      <w:r w:rsidRPr="00081D75">
        <w:rPr>
          <w:rFonts w:ascii="Times New Roman" w:hAnsi="Times New Roman"/>
          <w:i/>
          <w:iCs/>
          <w:sz w:val="28"/>
        </w:rPr>
        <w:t>“You may surely eat of every tree of the garden, but of the tree of the knowledge of good and evil you shall not eat, for in the day that you eat of it you shall surely die” (Gen. 2:16–17).</w:t>
      </w:r>
    </w:p>
    <w:p w14:paraId="70770498" w14:textId="77777777" w:rsidR="005D2F05" w:rsidRPr="00081D75" w:rsidRDefault="00192A49">
      <w:pPr>
        <w:spacing w:after="240"/>
        <w:rPr>
          <w:rFonts w:ascii="Times New Roman" w:hAnsi="Times New Roman"/>
          <w:sz w:val="28"/>
        </w:rPr>
      </w:pPr>
      <w:r w:rsidRPr="00081D75">
        <w:rPr>
          <w:rFonts w:ascii="Times New Roman" w:hAnsi="Times New Roman"/>
          <w:sz w:val="28"/>
        </w:rPr>
        <w:t xml:space="preserve">Before prohibition comes generosity: “You may surely eat of every tree.” The Father gives freely before He warns. The command comes not to diminish blessing but to protect life. His warning therefore tells the truth about reality as it is: to grasp what belongs to God alone is to step outside the life only He can give. The danger in Eden lay not in a shifting divine attitude but in the unchanging fact that separation from God, the source of all life, is death itself. A father not only gives freely but also </w:t>
      </w:r>
      <w:r w:rsidRPr="00081D75">
        <w:rPr>
          <w:rFonts w:ascii="Times New Roman" w:hAnsi="Times New Roman"/>
          <w:sz w:val="28"/>
        </w:rPr>
        <w:t>determines what his children may safely receive and when they may receive it. The tree thus stood not as a denial of blessing but as a boundary of trust—an invitation to live by God’s word rather than by self-determination.</w:t>
      </w:r>
    </w:p>
    <w:p w14:paraId="20F8283E" w14:textId="77777777" w:rsidR="005D2F05" w:rsidRPr="00081D75" w:rsidRDefault="00192A49">
      <w:pPr>
        <w:spacing w:after="240"/>
        <w:rPr>
          <w:rFonts w:ascii="Times New Roman" w:hAnsi="Times New Roman"/>
          <w:sz w:val="28"/>
        </w:rPr>
      </w:pPr>
      <w:r w:rsidRPr="00081D75">
        <w:rPr>
          <w:rFonts w:ascii="Times New Roman" w:hAnsi="Times New Roman"/>
          <w:sz w:val="28"/>
        </w:rPr>
        <w:t>The tree was good because everything in the garden was good (Gen. 1:31). It was holy because it belonged to God’s own domain, bound to the knowledge of good and evil that exists in Him alone (Gen. 3:5, 22). For God to “know good and evil” is to rule in perfect wisdom. God holds this knowledge as sovereignty. Creatures can grasp it only as autonomy. For creatures to seize that knowledge apart from Him is to grasp what only God can be, not merely what He possesses. When Adam and Eve ate, they did not take som</w:t>
      </w:r>
      <w:r w:rsidRPr="00081D75">
        <w:rPr>
          <w:rFonts w:ascii="Times New Roman" w:hAnsi="Times New Roman"/>
          <w:sz w:val="28"/>
        </w:rPr>
        <w:t>ething God owns. They reached for something only God can be. In human hands, that reach became its own undoing—a counterfeit wisdom, a self-made holiness, a knowing severed from the One who is life.</w:t>
      </w:r>
    </w:p>
    <w:p w14:paraId="6B2C9116" w14:textId="77777777" w:rsidR="005D2F05" w:rsidRPr="00081D75" w:rsidRDefault="00192A49">
      <w:pPr>
        <w:spacing w:after="240"/>
        <w:rPr>
          <w:rFonts w:ascii="Times New Roman" w:hAnsi="Times New Roman"/>
          <w:sz w:val="28"/>
        </w:rPr>
      </w:pPr>
      <w:r w:rsidRPr="00081D75">
        <w:rPr>
          <w:rFonts w:ascii="Times New Roman" w:hAnsi="Times New Roman"/>
          <w:sz w:val="28"/>
        </w:rPr>
        <w:t>Everything in the argument that follows depends on taking this claim seriously: the tree was holy—not by later designation, but by what it bore and marked within creation.</w:t>
      </w:r>
    </w:p>
    <w:p w14:paraId="27C6EC89" w14:textId="77777777" w:rsidR="005D2F05" w:rsidRPr="00081D75" w:rsidRDefault="00192A49">
      <w:pPr>
        <w:spacing w:after="240"/>
        <w:rPr>
          <w:rFonts w:ascii="Times New Roman" w:hAnsi="Times New Roman"/>
          <w:sz w:val="28"/>
        </w:rPr>
      </w:pPr>
      <w:r w:rsidRPr="00081D75">
        <w:rPr>
          <w:rFonts w:ascii="Times New Roman" w:hAnsi="Times New Roman"/>
          <w:sz w:val="28"/>
        </w:rPr>
        <w:lastRenderedPageBreak/>
        <w:t>This view is not the standard interpretation of Genesis 2 and 3. Interpreters across the tradition have often treated the tree as powerless, its fruit inert. One influential reading locates the decisive shift not in the fruit itself but in God’s subsequent judgment, understanding the punishment of disobedience as disobedience itself—the soul, having turned from God, becoming disordered and ungovernable. This account sees the moral reality of the Fall with precision. Yet the causal sequence Genesis describes</w:t>
      </w:r>
      <w:r w:rsidRPr="00081D75">
        <w:rPr>
          <w:rFonts w:ascii="Times New Roman" w:hAnsi="Times New Roman"/>
          <w:sz w:val="28"/>
        </w:rPr>
        <w:t xml:space="preserve"> points further. Genesis is plain: “she took of its fruit and ate… then the eyes of both were opened” (Gen. 3:6–7). Eating brought transformation, not a delayed verdict.</w:t>
      </w:r>
    </w:p>
    <w:p w14:paraId="156CFAD8" w14:textId="77777777" w:rsidR="005D2F05" w:rsidRPr="00081D75" w:rsidRDefault="00192A49">
      <w:pPr>
        <w:spacing w:after="240"/>
        <w:rPr>
          <w:rFonts w:ascii="Times New Roman" w:hAnsi="Times New Roman"/>
          <w:sz w:val="28"/>
        </w:rPr>
      </w:pPr>
      <w:r w:rsidRPr="00081D75">
        <w:rPr>
          <w:rFonts w:ascii="Times New Roman" w:hAnsi="Times New Roman"/>
          <w:sz w:val="28"/>
        </w:rPr>
        <w:t>Another tradition stresses the subjective side of the Fall: the loss of a good conscience, the arrival of shame where innocence had been. This is not wrong as far as it goes. But placing the emphasis on perception rather than reality does not go far enough. The shame that followed was not a new perception of an unchanged condition. It was the accurate perception of a changed one. The focus on conscience, however searching, does not account for the ontological change the text requires.</w:t>
      </w:r>
    </w:p>
    <w:p w14:paraId="10DFF75B" w14:textId="77777777" w:rsidR="005D2F05" w:rsidRPr="00081D75" w:rsidRDefault="00192A49">
      <w:pPr>
        <w:spacing w:after="240"/>
        <w:rPr>
          <w:rFonts w:ascii="Times New Roman" w:hAnsi="Times New Roman"/>
          <w:sz w:val="28"/>
        </w:rPr>
      </w:pPr>
      <w:r w:rsidRPr="00081D75">
        <w:rPr>
          <w:rFonts w:ascii="Times New Roman" w:hAnsi="Times New Roman"/>
          <w:sz w:val="28"/>
        </w:rPr>
        <w:t>A third reading acknowledges that Adam and Eve gained something real, yet frames the tree as good in itself, made perilous only by disobedience. The tree became a source of ruin through sin, not by virtue of what it inherently bore. This rightly affirms the goodness of creation, yet it softens the danger bound up with this particular tree. The text does not suggest the fruit became deadly only after disobedience. It presents the fruit as carrying a power inseparable from God’s own self.</w:t>
      </w:r>
    </w:p>
    <w:p w14:paraId="7B210B16" w14:textId="77777777" w:rsidR="005D2F05" w:rsidRPr="00081D75" w:rsidRDefault="00192A49">
      <w:pPr>
        <w:spacing w:after="240"/>
        <w:rPr>
          <w:rFonts w:ascii="Times New Roman" w:hAnsi="Times New Roman"/>
          <w:sz w:val="28"/>
        </w:rPr>
      </w:pPr>
      <w:r w:rsidRPr="00081D75">
        <w:rPr>
          <w:rFonts w:ascii="Times New Roman" w:hAnsi="Times New Roman"/>
          <w:sz w:val="28"/>
        </w:rPr>
        <w:t>A fourth and more searching account frames the tree as a question of moral authority: would Adam and Eve allow God to define good and evil, or would they seize that defining power for themselves? The serpent’s offer was not merely knowledge but sovereignty—the right to set the standard. This is genuinely illuminating. Yet even here the account remains within the register of choice and relationship. The Fall is a relational rupture, a creature declaring independence from the God who alone can define reality.</w:t>
      </w:r>
      <w:r w:rsidRPr="00081D75">
        <w:rPr>
          <w:rFonts w:ascii="Times New Roman" w:hAnsi="Times New Roman"/>
          <w:sz w:val="28"/>
        </w:rPr>
        <w:t xml:space="preserve"> What this account does not press into is the question Genesis itself raises immediately after the act: why did eating, rather than merely deciding, bring the transformation? Genesis marks the hinge with stark precision—“then the eyes of both were opened”—and locates it not at the moment of desire, not at the moment of resolve, but at the moment of contact. The reaching is explained. The text insists on what the grasping did.</w:t>
      </w:r>
    </w:p>
    <w:p w14:paraId="3DB35190" w14:textId="77777777" w:rsidR="005D2F05" w:rsidRPr="00081D75" w:rsidRDefault="00192A49">
      <w:pPr>
        <w:spacing w:after="240"/>
        <w:rPr>
          <w:rFonts w:ascii="Times New Roman" w:hAnsi="Times New Roman"/>
          <w:sz w:val="28"/>
        </w:rPr>
      </w:pPr>
      <w:r w:rsidRPr="00081D75">
        <w:rPr>
          <w:rFonts w:ascii="Times New Roman" w:hAnsi="Times New Roman"/>
          <w:sz w:val="28"/>
        </w:rPr>
        <w:t xml:space="preserve">Genesis does not name the tree “holy” in so many words, yet it consistently treats it as belonging to a category of things that are good in themselves but lethal when </w:t>
      </w:r>
      <w:r w:rsidRPr="00081D75">
        <w:rPr>
          <w:rFonts w:ascii="Times New Roman" w:hAnsi="Times New Roman"/>
          <w:sz w:val="28"/>
        </w:rPr>
        <w:lastRenderedPageBreak/>
        <w:t xml:space="preserve">grasped apart from God’s authorization—a pattern Scripture elsewhere identifies as holiness. Each of these interpretive traditions has seen something true—sin as separation, conscience as its register, creation as good, autonomy as the temptation—yet all stop short of what the text itself insists on: that the sequence of eating and transformation is not incidental but causal, and that the danger belonged to the tree not by divine assignment after the fact but by virtue of what the tree represented. Genesis </w:t>
      </w:r>
      <w:r w:rsidRPr="00081D75">
        <w:rPr>
          <w:rFonts w:ascii="Times New Roman" w:hAnsi="Times New Roman"/>
          <w:sz w:val="28"/>
        </w:rPr>
        <w:t>states the sequence with stark simplicity: she ate, he ate, and immediately “the eyes of both were opened.” That sequence, however, begins earlier than the bite. Sin was present before the fruit was taken.</w:t>
      </w:r>
    </w:p>
    <w:p w14:paraId="234CE3D8" w14:textId="77777777" w:rsidR="005D2F05" w:rsidRPr="00081D75" w:rsidRDefault="00192A49">
      <w:pPr>
        <w:spacing w:after="240"/>
        <w:rPr>
          <w:rFonts w:ascii="Times New Roman" w:hAnsi="Times New Roman"/>
          <w:sz w:val="28"/>
        </w:rPr>
      </w:pPr>
      <w:r w:rsidRPr="00081D75">
        <w:rPr>
          <w:rFonts w:ascii="Times New Roman" w:hAnsi="Times New Roman"/>
          <w:sz w:val="28"/>
        </w:rPr>
        <w:t>Sin began before they ate. Eve desired to be “like God,” and Adam remained silent though he had received God’s command directly. Desire itself was already sin, for Jesus later taught that whoever looks with lustful intent has already crossed the line in the heart. The rebellion therefore began inwardly long before the hand reached for the fruit. And it was genuinely Eve’s and Adam’s own rebellion—not the expression of a nature God designed to fail, but the act of creatures whose freedom was real enough to t</w:t>
      </w:r>
      <w:r w:rsidRPr="00081D75">
        <w:rPr>
          <w:rFonts w:ascii="Times New Roman" w:hAnsi="Times New Roman"/>
          <w:sz w:val="28"/>
        </w:rPr>
        <w:t>urn away from the very source of their being. Yet their eyes were not opened until the fruit was taken and eaten. Genesis marks the moment with unmistakable clarity: she ate, he ate, and then the eyes of both were opened. Sin was present before the bite. The catastrophic change arrived with the bite. But Genesis does not leave the nature of that catastrophic change unspecified. It distinguishes between what the inward rebellion had already done to the will and what the act of eating did to the creature’s st</w:t>
      </w:r>
      <w:r w:rsidRPr="00081D75">
        <w:rPr>
          <w:rFonts w:ascii="Times New Roman" w:hAnsi="Times New Roman"/>
          <w:sz w:val="28"/>
        </w:rPr>
        <w:t>anding before God—and that distinction matters for understanding why the bite, and not merely the desire, was the hinge.</w:t>
      </w:r>
    </w:p>
    <w:p w14:paraId="57CDA9D6" w14:textId="77777777" w:rsidR="005D2F05" w:rsidRPr="00081D75" w:rsidRDefault="00192A49">
      <w:pPr>
        <w:spacing w:after="240"/>
        <w:rPr>
          <w:rFonts w:ascii="Times New Roman" w:hAnsi="Times New Roman"/>
          <w:sz w:val="28"/>
        </w:rPr>
      </w:pPr>
      <w:r w:rsidRPr="00081D75">
        <w:rPr>
          <w:rFonts w:ascii="Times New Roman" w:hAnsi="Times New Roman"/>
          <w:sz w:val="28"/>
        </w:rPr>
        <w:t xml:space="preserve">Scripture also distinguishes rebellion from unbelief, and Genesis reflects this same distinction. The serpent did not merely entice Eve to disobey; he persuaded her to doubt the truthfulness of God’s word and the goodness of God’s heart. Rebellion distorts the will. Unbelief severs the creature from the Word by which life is sustained. Jesus later identified unbelief as the decisive sin—not because God is unwilling to forgive, but because unbelief refuses the only source of life and forgiveness (John 3:18, </w:t>
      </w:r>
      <w:r w:rsidRPr="00081D75">
        <w:rPr>
          <w:rFonts w:ascii="Times New Roman" w:hAnsi="Times New Roman"/>
          <w:sz w:val="28"/>
        </w:rPr>
        <w:t>36; 16:8–9). What entered Eden as temptation became, in the act of eating, unbelief embodied.</w:t>
      </w:r>
    </w:p>
    <w:p w14:paraId="07F964D1" w14:textId="77777777" w:rsidR="005D2F05" w:rsidRPr="00081D75" w:rsidRDefault="00192A49">
      <w:pPr>
        <w:spacing w:after="240"/>
        <w:rPr>
          <w:rFonts w:ascii="Times New Roman" w:hAnsi="Times New Roman"/>
          <w:sz w:val="28"/>
        </w:rPr>
      </w:pPr>
      <w:r w:rsidRPr="00081D75">
        <w:rPr>
          <w:rFonts w:ascii="Times New Roman" w:hAnsi="Times New Roman"/>
          <w:sz w:val="28"/>
        </w:rPr>
        <w:t xml:space="preserve">Some argue that the true judgment in Eden occurs only after the transgression, when God confronts the man and the woman and pronounces the familiar words of curse and exile. On that reading, death is not intrinsic to the act of eating but is imposed afterward by divine decree. Genesis 3 suggests something both more unsettling and more coherent: God’s judgment is not reactive but revelatory. The decisive judgment was already embedded in the original warning and executed </w:t>
      </w:r>
      <w:r w:rsidRPr="00081D75">
        <w:rPr>
          <w:rFonts w:ascii="Times New Roman" w:hAnsi="Times New Roman"/>
          <w:sz w:val="28"/>
        </w:rPr>
        <w:lastRenderedPageBreak/>
        <w:t>through the act itself. “In the day that you eat of it you shall surely die” was not a threat awaiting enforcement but a statement of reality—much like God’s later word to Moses that no one can see His face and live.</w:t>
      </w:r>
    </w:p>
    <w:p w14:paraId="059D52E3" w14:textId="77777777" w:rsidR="005D2F05" w:rsidRPr="00081D75" w:rsidRDefault="00192A49">
      <w:pPr>
        <w:spacing w:after="240"/>
        <w:rPr>
          <w:rFonts w:ascii="Times New Roman" w:hAnsi="Times New Roman"/>
          <w:sz w:val="28"/>
        </w:rPr>
      </w:pPr>
      <w:r w:rsidRPr="00081D75">
        <w:rPr>
          <w:rFonts w:ascii="Times New Roman" w:hAnsi="Times New Roman"/>
          <w:sz w:val="28"/>
        </w:rPr>
        <w:t>When God speaks after the Fall of pain, toil, exile, and return to dust, He is not imposing death but naming the consequences of a death already begun. The fruit did not trigger a later verdict; it enacted an already-spoken truth. Death entered not by a new decree but by contact with what was God’s alone. Judgment in Eden was therefore self-executing, faithful to God’s word, and inseparable from His goodness. Humanity died because it grasped what could only be received on God’s terms, and in doing so became</w:t>
      </w:r>
      <w:r w:rsidRPr="00081D75">
        <w:rPr>
          <w:rFonts w:ascii="Times New Roman" w:hAnsi="Times New Roman"/>
          <w:sz w:val="28"/>
        </w:rPr>
        <w:t xml:space="preserve"> something it had never been before.</w:t>
      </w:r>
    </w:p>
    <w:p w14:paraId="7F818156" w14:textId="77777777" w:rsidR="005D2F05" w:rsidRPr="00081D75" w:rsidRDefault="00192A49">
      <w:pPr>
        <w:spacing w:after="240"/>
        <w:rPr>
          <w:rFonts w:ascii="Times New Roman" w:hAnsi="Times New Roman"/>
          <w:sz w:val="28"/>
        </w:rPr>
      </w:pPr>
      <w:r w:rsidRPr="00081D75">
        <w:rPr>
          <w:rFonts w:ascii="Times New Roman" w:hAnsi="Times New Roman"/>
          <w:sz w:val="28"/>
        </w:rPr>
        <w:t>Why did eating—rather than desiring—unleash death? The answer lies in what the tree represented: not a physical danger, and not a rule that might have been otherwise, but the collision that occurs when a creature grasps what belongs to God alone.</w:t>
      </w:r>
    </w:p>
    <w:p w14:paraId="264BCD42" w14:textId="77777777" w:rsidR="005D2F05" w:rsidRPr="00081D75" w:rsidRDefault="00192A49">
      <w:pPr>
        <w:spacing w:after="240"/>
        <w:rPr>
          <w:rFonts w:ascii="Times New Roman" w:hAnsi="Times New Roman"/>
          <w:sz w:val="28"/>
        </w:rPr>
      </w:pPr>
      <w:r w:rsidRPr="00081D75">
        <w:rPr>
          <w:rFonts w:ascii="Times New Roman" w:hAnsi="Times New Roman"/>
          <w:sz w:val="28"/>
        </w:rPr>
        <w:t>Scripture describes that collision with the language of holiness. Holiness is not an added quality that God assigns to objects. It is the manifestation, within creation, of the infinite difference between God’s being and everything He has made. When that difference is approached in the way God provides, it gives life. When it is seized on human terms, it destroys.</w:t>
      </w:r>
    </w:p>
    <w:p w14:paraId="450E311F" w14:textId="77777777" w:rsidR="005D2F05" w:rsidRPr="00081D75" w:rsidRDefault="00192A49">
      <w:pPr>
        <w:spacing w:after="240"/>
        <w:rPr>
          <w:rFonts w:ascii="Times New Roman" w:hAnsi="Times New Roman"/>
          <w:sz w:val="28"/>
        </w:rPr>
      </w:pPr>
      <w:r w:rsidRPr="00081D75">
        <w:rPr>
          <w:rFonts w:ascii="Times New Roman" w:hAnsi="Times New Roman"/>
          <w:sz w:val="28"/>
        </w:rPr>
        <w:t>The pattern appears again and again throughout Scripture. The ground around the burning bush became holy when the presence of God was revealed there. Mount Sinai became deadly when God descended upon it. The ark struck down the man who grasped it unbidden. In every case the object itself remained good. Yet contact outside the order proper to God’s holiness brought destruction. The same logic governs the tree in Eden. Its danger was not natural but ontological. The moment the man and woman seized what only G</w:t>
      </w:r>
      <w:r w:rsidRPr="00081D75">
        <w:rPr>
          <w:rFonts w:ascii="Times New Roman" w:hAnsi="Times New Roman"/>
          <w:sz w:val="28"/>
        </w:rPr>
        <w:t>od can rightly hold, the knowledge that is life in Him became death in them.</w:t>
      </w:r>
    </w:p>
    <w:p w14:paraId="4C7F4B6D" w14:textId="77777777" w:rsidR="005D2F05" w:rsidRPr="00081D75" w:rsidRDefault="00192A49">
      <w:pPr>
        <w:spacing w:after="240"/>
        <w:rPr>
          <w:rFonts w:ascii="Times New Roman" w:hAnsi="Times New Roman"/>
          <w:sz w:val="28"/>
        </w:rPr>
      </w:pPr>
      <w:r w:rsidRPr="00081D75">
        <w:rPr>
          <w:rFonts w:ascii="Times New Roman" w:hAnsi="Times New Roman"/>
          <w:sz w:val="28"/>
        </w:rPr>
        <w:t>This understanding does not abandon the traditional account of evil as privation. It completes it. The Fall was privation in the sense that the creature turned away from the source of its being. Yet that turning was not merely psychological or moral. The creature that makes such a turn is changed by it. The absence is real, and its consequences are real. Humans did not merely think differently after Eden. They were different.</w:t>
      </w:r>
    </w:p>
    <w:p w14:paraId="4A7D7448" w14:textId="77777777" w:rsidR="005D2F05" w:rsidRPr="00081D75" w:rsidRDefault="00192A49">
      <w:pPr>
        <w:spacing w:after="240"/>
        <w:rPr>
          <w:rFonts w:ascii="Times New Roman" w:hAnsi="Times New Roman"/>
          <w:sz w:val="28"/>
        </w:rPr>
      </w:pPr>
      <w:r w:rsidRPr="00081D75">
        <w:rPr>
          <w:rFonts w:ascii="Times New Roman" w:hAnsi="Times New Roman"/>
          <w:sz w:val="28"/>
        </w:rPr>
        <w:t xml:space="preserve">The arc of redemptive history begins and ends with a tree. In Eden, a tree warned of death. At Calvary, a tree bore that death. In the New Jerusalem, a tree heals the </w:t>
      </w:r>
      <w:r w:rsidRPr="00081D75">
        <w:rPr>
          <w:rFonts w:ascii="Times New Roman" w:hAnsi="Times New Roman"/>
          <w:sz w:val="28"/>
        </w:rPr>
        <w:lastRenderedPageBreak/>
        <w:t>nations. At the first tree, Adam grasped and fell. At the second, Christ yielded and rose. At the last, the redeemed eat freely of life. What began as warning becomes promise. What the cherubim barred, the pierced hands of the Son have opened.</w:t>
      </w:r>
    </w:p>
    <w:p w14:paraId="49E2C646" w14:textId="77777777" w:rsidR="005D2F05" w:rsidRPr="00081D75" w:rsidRDefault="00192A49">
      <w:pPr>
        <w:spacing w:after="240"/>
        <w:rPr>
          <w:rFonts w:ascii="Times New Roman" w:hAnsi="Times New Roman"/>
          <w:sz w:val="28"/>
        </w:rPr>
      </w:pPr>
      <w:r w:rsidRPr="00081D75">
        <w:rPr>
          <w:rFonts w:ascii="Times New Roman" w:hAnsi="Times New Roman"/>
          <w:sz w:val="28"/>
        </w:rPr>
        <w:t>Everything argued here points toward a single conclusion. Those pierced hands were not a contingency but a necessity. The God who planted the first tree, who barred the way after the Fall, and who on the second tree bore everything the first required could not have done otherwise without ceasing to be who He eternally is. The cross was never plan B. It was the necessary expression of the God who cannot be other than He is.</w:t>
      </w:r>
    </w:p>
    <w:p w14:paraId="1BDD3649" w14:textId="77777777" w:rsidR="005D2F05" w:rsidRDefault="00192A49">
      <w:pPr>
        <w:spacing w:before="480"/>
        <w:jc w:val="center"/>
        <w:rPr>
          <w:rFonts w:ascii="Segoe UI Symbol" w:hAnsi="Segoe UI Symbol" w:cs="Segoe UI Symbol"/>
          <w:sz w:val="28"/>
        </w:rPr>
      </w:pPr>
      <w:r w:rsidRPr="00081D75">
        <w:rPr>
          <w:rFonts w:ascii="Segoe UI Symbol" w:hAnsi="Segoe UI Symbol" w:cs="Segoe UI Symbol"/>
          <w:sz w:val="28"/>
        </w:rPr>
        <w:t>❖</w:t>
      </w:r>
    </w:p>
    <w:p w14:paraId="3E50BC2A" w14:textId="7C30B6D3" w:rsidR="00081D75" w:rsidRDefault="00081D75" w:rsidP="00081D75">
      <w:pPr>
        <w:rPr>
          <w:rFonts w:ascii="Segoe UI Symbol" w:hAnsi="Segoe UI Symbol" w:cs="Segoe UI Symbol"/>
          <w:sz w:val="28"/>
        </w:rPr>
      </w:pPr>
      <w:r>
        <w:rPr>
          <w:rFonts w:ascii="Segoe UI Symbol" w:hAnsi="Segoe UI Symbol" w:cs="Segoe UI Symbol"/>
          <w:sz w:val="28"/>
        </w:rPr>
        <w:t>John Dotson</w:t>
      </w:r>
    </w:p>
    <w:p w14:paraId="5B181F07" w14:textId="1180FF55" w:rsidR="00081D75" w:rsidRDefault="00081D75" w:rsidP="00081D75">
      <w:pPr>
        <w:rPr>
          <w:rFonts w:ascii="Segoe UI Symbol" w:hAnsi="Segoe UI Symbol" w:cs="Segoe UI Symbol"/>
          <w:sz w:val="28"/>
        </w:rPr>
      </w:pPr>
      <w:r>
        <w:rPr>
          <w:rFonts w:ascii="Segoe UI Symbol" w:hAnsi="Segoe UI Symbol" w:cs="Segoe UI Symbol"/>
          <w:sz w:val="28"/>
        </w:rPr>
        <w:t>Harmon Church of Bartlett</w:t>
      </w:r>
    </w:p>
    <w:p w14:paraId="76DF2C14" w14:textId="2445FD9D" w:rsidR="00081D75" w:rsidRPr="00081D75" w:rsidRDefault="00081D75" w:rsidP="00081D75">
      <w:pPr>
        <w:rPr>
          <w:rFonts w:ascii="Times New Roman" w:hAnsi="Times New Roman"/>
          <w:sz w:val="28"/>
        </w:rPr>
      </w:pPr>
      <w:r>
        <w:rPr>
          <w:rFonts w:ascii="Segoe UI Symbol" w:hAnsi="Segoe UI Symbol" w:cs="Segoe UI Symbol"/>
          <w:sz w:val="28"/>
        </w:rPr>
        <w:t>June 2026</w:t>
      </w:r>
    </w:p>
    <w:sectPr w:rsidR="00081D75" w:rsidRPr="00081D7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5168B"/>
    <w:multiLevelType w:val="hybridMultilevel"/>
    <w:tmpl w:val="30EAEEB2"/>
    <w:lvl w:ilvl="0" w:tplc="E3246BCE">
      <w:start w:val="1"/>
      <w:numFmt w:val="bullet"/>
      <w:lvlText w:val="●"/>
      <w:lvlJc w:val="left"/>
      <w:pPr>
        <w:ind w:left="720" w:hanging="360"/>
      </w:pPr>
    </w:lvl>
    <w:lvl w:ilvl="1" w:tplc="42066218">
      <w:start w:val="1"/>
      <w:numFmt w:val="bullet"/>
      <w:lvlText w:val="○"/>
      <w:lvlJc w:val="left"/>
      <w:pPr>
        <w:ind w:left="1440" w:hanging="360"/>
      </w:pPr>
    </w:lvl>
    <w:lvl w:ilvl="2" w:tplc="A8D0B596">
      <w:start w:val="1"/>
      <w:numFmt w:val="bullet"/>
      <w:lvlText w:val="■"/>
      <w:lvlJc w:val="left"/>
      <w:pPr>
        <w:ind w:left="2160" w:hanging="360"/>
      </w:pPr>
    </w:lvl>
    <w:lvl w:ilvl="3" w:tplc="D3924918">
      <w:start w:val="1"/>
      <w:numFmt w:val="bullet"/>
      <w:lvlText w:val="●"/>
      <w:lvlJc w:val="left"/>
      <w:pPr>
        <w:ind w:left="2880" w:hanging="360"/>
      </w:pPr>
    </w:lvl>
    <w:lvl w:ilvl="4" w:tplc="7C7618EE">
      <w:start w:val="1"/>
      <w:numFmt w:val="bullet"/>
      <w:lvlText w:val="○"/>
      <w:lvlJc w:val="left"/>
      <w:pPr>
        <w:ind w:left="3600" w:hanging="360"/>
      </w:pPr>
    </w:lvl>
    <w:lvl w:ilvl="5" w:tplc="C588892E">
      <w:start w:val="1"/>
      <w:numFmt w:val="bullet"/>
      <w:lvlText w:val="■"/>
      <w:lvlJc w:val="left"/>
      <w:pPr>
        <w:ind w:left="4320" w:hanging="360"/>
      </w:pPr>
    </w:lvl>
    <w:lvl w:ilvl="6" w:tplc="21B8EF4E">
      <w:start w:val="1"/>
      <w:numFmt w:val="bullet"/>
      <w:lvlText w:val="●"/>
      <w:lvlJc w:val="left"/>
      <w:pPr>
        <w:ind w:left="5040" w:hanging="360"/>
      </w:pPr>
    </w:lvl>
    <w:lvl w:ilvl="7" w:tplc="146A97D6">
      <w:start w:val="1"/>
      <w:numFmt w:val="bullet"/>
      <w:lvlText w:val="●"/>
      <w:lvlJc w:val="left"/>
      <w:pPr>
        <w:ind w:left="5760" w:hanging="360"/>
      </w:pPr>
    </w:lvl>
    <w:lvl w:ilvl="8" w:tplc="6164A400">
      <w:start w:val="1"/>
      <w:numFmt w:val="bullet"/>
      <w:lvlText w:val="●"/>
      <w:lvlJc w:val="left"/>
      <w:pPr>
        <w:ind w:left="6480" w:hanging="360"/>
      </w:pPr>
    </w:lvl>
  </w:abstractNum>
  <w:num w:numId="1" w16cid:durableId="1632826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F05"/>
    <w:rsid w:val="00081D75"/>
    <w:rsid w:val="00192A49"/>
    <w:rsid w:val="005D2F05"/>
    <w:rsid w:val="006329E7"/>
    <w:rsid w:val="00FA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5D3A"/>
  <w15:docId w15:val="{BB66F83D-914D-453C-8419-0C1716D8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2395</Words>
  <Characters>11429</Characters>
  <Application>Microsoft Office Word</Application>
  <DocSecurity>0</DocSecurity>
  <Lines>175</Lines>
  <Paragraphs>35</Paragraphs>
  <ScaleCrop>false</ScaleCrop>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Dotson, John H.</cp:lastModifiedBy>
  <cp:revision>3</cp:revision>
  <dcterms:created xsi:type="dcterms:W3CDTF">2026-06-19T00:27:00Z</dcterms:created>
  <dcterms:modified xsi:type="dcterms:W3CDTF">2026-06-19T00:29:00Z</dcterms:modified>
</cp:coreProperties>
</file>